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4.png" ContentType="image/png"/>
  <Override PartName="/word/media/rId27.png" ContentType="image/png"/>
  <Override PartName="/word/media/rId30.png" ContentType="image/png"/>
  <Override PartName="/word/media/rId33.png" ContentType="image/png"/>
  <Override PartName="/word/media/rId37.png" ContentType="image/png"/>
  <Override PartName="/word/media/rId40.png" ContentType="image/png"/>
  <Override PartName="/word/media/rId45.png" ContentType="image/png"/>
  <Override PartName="/word/media/rId49.png" ContentType="image/png"/>
  <Override PartName="/word/media/rId52.png" ContentType="image/png"/>
  <Override PartName="/word/media/rId56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1.png" ContentType="image/png"/>
  <Override PartName="/word/media/rId75.png" ContentType="image/png"/>
  <Override PartName="/word/media/rId78.png" ContentType="image/png"/>
  <Override PartName="/word/media/rId81.png" ContentType="image/png"/>
  <Override PartName="/word/media/rId85.png" ContentType="image/png"/>
  <Override PartName="/word/media/rId88.png" ContentType="image/png"/>
  <Override PartName="/word/media/rId92.png" ContentType="image/png"/>
  <Override PartName="/word/media/rId95.png" ContentType="image/png"/>
  <Override PartName="/word/media/rId99.png" ContentType="image/png"/>
  <Override PartName="/word/media/rId104.png" ContentType="image/png"/>
  <Override PartName="/word/media/rId108.png" ContentType="image/png"/>
  <Override PartName="/word/media/rId111.png" ContentType="image/png"/>
  <Override PartName="/word/media/rId114.png" ContentType="image/png"/>
  <Override PartName="/word/media/rId117.png" ContentType="image/png"/>
  <Override PartName="/word/media/rId121.png" ContentType="image/png"/>
  <Override PartName="/word/media/rId125.png" ContentType="image/png"/>
  <Override PartName="/word/media/rId129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BlockText"/>
      </w:pPr>
      <w:r>
        <w:t xml:space="preserve">一研为定，万山无阻！</w:t>
      </w:r>
    </w:p>
    <w:p>
      <w:pPr>
        <w:pStyle w:val="BlockText"/>
      </w:pPr>
      <w:r>
        <w:t xml:space="preserve">@[toc]</w:t>
      </w:r>
    </w:p>
    <w:p>
      <w:pPr>
        <w:pStyle w:val="FirstParagraph"/>
      </w:pPr>
      <w:r>
        <w:t xml:space="preserve"/>
      </w:r>
    </w:p>
    <w:p>
      <w:pPr>
        <w:pStyle w:val="Heading1"/>
      </w:pPr>
      <w:bookmarkStart w:id="21" w:name="header-n5"/>
      <w:bookmarkEnd w:id="21"/>
      <w:r>
        <w:t xml:space="preserve">浮点数的表示</w:t>
      </w:r>
    </w:p>
    <w:p>
      <w:pPr>
        <w:pStyle w:val="FigureWithCaption"/>
      </w:pPr>
      <w:r>
        <w:drawing>
          <wp:inline>
            <wp:extent cx="5334000" cy="12088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4211614523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088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numPr>
          <w:numId w:val="1001"/>
          <w:ilvl w:val="0"/>
        </w:numPr>
      </w:pPr>
      <w:r>
        <w:t xml:space="preserve">阶码反映 数值大小</w:t>
      </w:r>
    </w:p>
    <w:p>
      <w:pPr>
        <w:numPr>
          <w:numId w:val="1001"/>
          <w:ilvl w:val="0"/>
        </w:numPr>
      </w:pPr>
      <w:r>
        <w:t xml:space="preserve">尾数反映 数值精度</w:t>
      </w:r>
      <w:r>
        <w:br w:type="textWrapping"/>
      </w:r>
      <w:r>
        <w:drawing>
          <wp:inline>
            <wp:extent cx="5334000" cy="2566161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421181306462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661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01"/>
          <w:ilvl w:val="0"/>
        </w:numPr>
      </w:pPr>
      <w:r>
        <w:t xml:space="preserve">阶码 E ：常用</w:t>
      </w:r>
      <w:r>
        <w:rPr>
          <w:b/>
        </w:rPr>
        <w:t xml:space="preserve">补码</w:t>
      </w:r>
      <w:r>
        <w:t xml:space="preserve">或</w:t>
      </w:r>
      <w:r>
        <w:rPr>
          <w:b/>
        </w:rPr>
        <w:t xml:space="preserve">移码</w:t>
      </w:r>
      <w:r>
        <w:t xml:space="preserve">表示的定点整数 （</w:t>
      </w:r>
      <w:r>
        <w:rPr>
          <w:shd w:val="clear" w:fill="ffff00"/>
        </w:rPr>
        <w:t>因为</w:t>
      </w:r>
      <w:r>
        <w:t xml:space="preserve">：阶码只能表示整数哈）</w:t>
      </w:r>
    </w:p>
    <w:p>
      <w:pPr>
        <w:numPr>
          <w:numId w:val="1001"/>
          <w:ilvl w:val="0"/>
        </w:numPr>
      </w:pPr>
      <w:r>
        <w:t xml:space="preserve">尾数 M ：常用</w:t>
      </w:r>
      <w:r>
        <w:rPr>
          <w:b/>
        </w:rPr>
        <w:t xml:space="preserve">原码</w:t>
      </w:r>
      <w:r>
        <w:t xml:space="preserve">或</w:t>
      </w:r>
      <w:r>
        <w:rPr>
          <w:b/>
        </w:rPr>
        <w:t xml:space="preserve">补码</w:t>
      </w:r>
      <w:r>
        <w:t xml:space="preserve">表示的定点小数</w:t>
      </w:r>
    </w:p>
    <w:p>
      <w:pPr>
        <w:pStyle w:val="FirstParagraph"/>
      </w:pPr>
      <w:r>
        <w:rPr>
          <w:shd w:val="clear" w:fill="ffff00"/>
        </w:rPr>
        <w:t>注意</w:t>
      </w:r>
      <w:r>
        <w:t xml:space="preserve"> </w:t>
      </w:r>
      <w:r>
        <w:t xml:space="preserve">： 正数 原补码 不变</w:t>
      </w:r>
    </w:p>
    <w:p>
      <w:pPr>
        <w:pStyle w:val="BodyText"/>
      </w:pPr>
      <w:r>
        <w:drawing>
          <wp:inline>
            <wp:extent cx="5334000" cy="2464531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421192615788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4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>
            <wp:extent cx="5334000" cy="932915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4211927445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329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02"/>
          <w:ilvl w:val="0"/>
        </w:numPr>
      </w:pPr>
      <w:r>
        <w:t xml:space="preserve">补码转原码方法 ： 符号位不变 其余每位取反然后加 1</w:t>
      </w:r>
    </w:p>
    <w:p>
      <w:pPr>
        <w:pStyle w:val="FirstParagraph"/>
      </w:pPr>
      <w:r>
        <w:t xml:space="preserve"/>
      </w:r>
    </w:p>
    <w:p>
      <w:pPr>
        <w:pStyle w:val="Heading2"/>
      </w:pPr>
      <w:bookmarkStart w:id="34" w:name="header-n23"/>
      <w:bookmarkEnd w:id="34"/>
      <w:r>
        <w:t xml:space="preserve">浮点数规格化</w:t>
      </w:r>
    </w:p>
    <w:p>
      <w:pPr>
        <w:numPr>
          <w:numId w:val="1003"/>
          <w:ilvl w:val="0"/>
        </w:numPr>
      </w:pPr>
      <w:r>
        <w:t xml:space="preserve">当计算机存储不下时，会发生精度损失</w:t>
      </w:r>
      <w:r>
        <w:br w:type="textWrapping"/>
      </w:r>
      <w:r>
        <w:drawing>
          <wp:inline>
            <wp:extent cx="5334000" cy="1414905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421193425703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149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b/>
        </w:rPr>
        <w:t xml:space="preserve">左规</w:t>
      </w:r>
      <w:r>
        <w:t xml:space="preserve">： 即为将尾数最高的无效位省去，向左减一（阶码减一）</w:t>
      </w:r>
    </w:p>
    <w:p>
      <w:pPr>
        <w:pStyle w:val="FigureWithCaption"/>
      </w:pPr>
      <w:r>
        <w:drawing>
          <wp:inline>
            <wp:extent cx="5334000" cy="26118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421200025370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18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numPr>
          <w:numId w:val="1004"/>
          <w:ilvl w:val="0"/>
        </w:numPr>
      </w:pPr>
      <w:r>
        <w:rPr>
          <w:shd w:val="clear" w:fill="ffff00"/>
        </w:rPr>
        <w:t>注意</w:t>
      </w:r>
      <w:r>
        <w:t xml:space="preserve">：采用（双符号位），当溢出发生时，可以挽救。更高的符号位是正确的符号位。</w:t>
      </w:r>
    </w:p>
    <w:p>
      <w:pPr>
        <w:pStyle w:val="Heading2"/>
      </w:pPr>
      <w:bookmarkStart w:id="41" w:name="header-n31"/>
      <w:bookmarkEnd w:id="41"/>
      <w:r>
        <w:t xml:space="preserve">规格化浮点数的特点</w:t>
      </w:r>
    </w:p>
    <w:p>
      <w:pPr>
        <w:pStyle w:val="Heading3"/>
      </w:pPr>
      <w:bookmarkStart w:id="42" w:name="header-n32"/>
      <w:bookmarkEnd w:id="42"/>
      <w:r>
        <w:t xml:space="preserve">原码表示尾数的规格化</w:t>
      </w:r>
    </w:p>
    <w:p>
      <w:pPr>
        <w:pStyle w:val="FigureWithCaption"/>
      </w:pPr>
      <w:r>
        <w:drawing>
          <wp:inline>
            <wp:extent cx="5334000" cy="102852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423235256782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285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numPr>
          <w:numId w:val="1005"/>
          <w:ilvl w:val="0"/>
        </w:numPr>
      </w:pPr>
      <w:r>
        <w:rPr>
          <w:shd w:val="clear" w:fill="ffff00"/>
        </w:rPr>
        <w:t>注意</w:t>
      </w:r>
      <w:r>
        <w:t xml:space="preserve">： 画红线 处必定为</w:t>
      </w:r>
      <w:r>
        <w:t xml:space="preserve"> </w:t>
      </w:r>
      <w:r>
        <w:rPr>
          <w:rStyle w:val="VerbatimChar"/>
        </w:rPr>
        <w:t xml:space="preserve">1</w:t>
      </w:r>
      <w:r>
        <w:t xml:space="preserve"> </w:t>
      </w:r>
      <w:r>
        <w:t xml:space="preserve">，因为 类似于科学计数法 首位必须为</w:t>
      </w:r>
      <w:r>
        <w:t xml:space="preserve"> </w:t>
      </w:r>
      <w:r>
        <w:rPr>
          <w:rStyle w:val="VerbatimChar"/>
        </w:rPr>
        <w:t xml:space="preserve">1</w:t>
      </w:r>
    </w:p>
    <w:p>
      <w:pPr>
        <w:numPr>
          <w:numId w:val="1005"/>
          <w:ilvl w:val="0"/>
        </w:numPr>
      </w:pPr>
      <w:r>
        <w:t xml:space="preserve">规格化的原码尾数，最高数值位定是1</w:t>
      </w:r>
    </w:p>
    <w:p>
      <w:pPr>
        <w:pStyle w:val="Heading3"/>
      </w:pPr>
      <w:bookmarkStart w:id="46" w:name="header-n39"/>
      <w:bookmarkEnd w:id="46"/>
      <w:r>
        <w:t xml:space="preserve">补码表示尾数的规格化</w:t>
      </w:r>
    </w:p>
    <w:p>
      <w:pPr>
        <w:pStyle w:val="FigureWithCaption"/>
      </w:pPr>
      <w:r>
        <w:drawing>
          <wp:inline>
            <wp:extent cx="5334000" cy="101461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423235718440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146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numPr>
          <w:numId w:val="1006"/>
          <w:ilvl w:val="0"/>
        </w:numPr>
      </w:pPr>
      <w:r>
        <w:rPr>
          <w:shd w:val="clear" w:fill="ffff00"/>
        </w:rPr>
        <w:t>注意</w:t>
      </w:r>
      <w:r>
        <w:t xml:space="preserve">： 符号位与数值第一位 必须相异</w:t>
      </w:r>
    </w:p>
    <w:p>
      <w:pPr>
        <w:numPr>
          <w:numId w:val="1006"/>
          <w:ilvl w:val="0"/>
        </w:numPr>
      </w:pPr>
      <w:r>
        <w:t xml:space="preserve">规格化的补码尾数，符号位与最高数值位一定</w:t>
      </w:r>
      <w:r>
        <w:rPr>
          <w:b/>
        </w:rPr>
        <w:t xml:space="preserve">相反</w:t>
      </w:r>
    </w:p>
    <w:p>
      <w:pPr>
        <w:pStyle w:val="FirstParagraph"/>
      </w:pPr>
      <w:r>
        <w:rPr>
          <w:b/>
        </w:rPr>
        <w:t xml:space="preserve">例题：</w:t>
      </w:r>
      <w:r>
        <w:br w:type="textWrapping"/>
      </w:r>
      <w:r>
        <w:drawing>
          <wp:inline>
            <wp:extent cx="5334000" cy="1269102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424001137968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691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b/>
        </w:rPr>
        <w:t xml:space="preserve">答案</w:t>
      </w:r>
      <w:r>
        <w:t xml:space="preserve"> </w:t>
      </w:r>
      <w:r>
        <w:t xml:space="preserve">：</w:t>
      </w:r>
      <w:r>
        <w:rPr>
          <w:rStyle w:val="VerbatimChar"/>
        </w:rPr>
        <w:t xml:space="preserve">0.011 , 1.0100000</w:t>
      </w:r>
    </w:p>
    <w:p>
      <w:pPr>
        <w:pStyle w:val="Heading2"/>
      </w:pPr>
      <w:bookmarkStart w:id="53" w:name="header-n48"/>
      <w:bookmarkEnd w:id="53"/>
      <w:r>
        <w:t xml:space="preserve">总结</w:t>
      </w:r>
    </w:p>
    <w:p>
      <w:pPr>
        <w:pStyle w:val="FigureWithCaption"/>
      </w:pPr>
      <w:r>
        <w:drawing>
          <wp:inline>
            <wp:extent cx="5334000" cy="239282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424001645472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928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1"/>
      </w:pPr>
      <w:bookmarkStart w:id="57" w:name="header-n50"/>
      <w:bookmarkEnd w:id="57"/>
      <w:r>
        <w:t xml:space="preserve">IEEE 754</w:t>
      </w:r>
    </w:p>
    <w:p>
      <w:pPr>
        <w:pStyle w:val="Heading2"/>
      </w:pPr>
      <w:bookmarkStart w:id="58" w:name="header-n51"/>
      <w:bookmarkEnd w:id="58"/>
      <w:r>
        <w:t xml:space="preserve">移码</w:t>
      </w:r>
    </w:p>
    <w:p>
      <w:pPr>
        <w:numPr>
          <w:numId w:val="1007"/>
          <w:ilvl w:val="0"/>
        </w:numPr>
      </w:pPr>
      <w:r>
        <w:rPr>
          <w:b/>
        </w:rPr>
        <w:t xml:space="preserve">移码</w:t>
      </w:r>
      <w:r>
        <w:t xml:space="preserve">：补码的基础上将符号位取反。</w:t>
      </w:r>
      <w:r>
        <w:rPr>
          <w:shd w:val="clear" w:fill="ffff00"/>
        </w:rPr>
        <w:t>注意</w:t>
      </w:r>
      <w:r>
        <w:t xml:space="preserve">：移码只能用于表示</w:t>
      </w:r>
      <w:r>
        <w:rPr>
          <w:b/>
        </w:rPr>
        <w:t xml:space="preserve">整数</w:t>
      </w:r>
      <w:r>
        <w:br w:type="textWrapping"/>
      </w:r>
      <w:r>
        <w:drawing>
          <wp:inline>
            <wp:extent cx="5334000" cy="3169273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424115849232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92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07"/>
          <w:ilvl w:val="0"/>
        </w:numPr>
      </w:pPr>
      <w:r>
        <w:rPr>
          <w:b/>
        </w:rPr>
        <w:t xml:space="preserve">移码的定义</w:t>
      </w:r>
      <w:r>
        <w:t xml:space="preserve"> </w:t>
      </w:r>
      <w:r>
        <w:t xml:space="preserve">： 移码 = 正值 + 偏置值</w:t>
      </w:r>
      <w:r>
        <w:br w:type="textWrapping"/>
      </w:r>
      <w:r>
        <w:drawing>
          <wp:inline>
            <wp:extent cx="5334000" cy="2497281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424120812574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7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07"/>
          <w:ilvl w:val="0"/>
        </w:numPr>
      </w:pPr>
      <w:r>
        <w:t xml:space="preserve">偏置值一般取</w:t>
      </w:r>
      <w:r>
        <w:rPr>
          <w:rStyle w:val="VerbatimChar"/>
        </w:rPr>
        <w:t xml:space="preserve">2^(n-1)</w:t>
      </w:r>
      <w:r>
        <w:t xml:space="preserve">，此时 移码=补码符号位取反</w:t>
      </w:r>
    </w:p>
    <w:p>
      <w:pPr>
        <w:pStyle w:val="FirstParagraph"/>
      </w:pPr>
      <w:r>
        <w:rPr>
          <w:shd w:val="clear" w:fill="ffff00"/>
        </w:rPr>
        <w:t>注意</w:t>
      </w:r>
      <w:r>
        <w:t xml:space="preserve"> </w:t>
      </w:r>
      <w:r>
        <w:t xml:space="preserve">： 偏置值 也可以 取其他值</w:t>
      </w:r>
      <w:r>
        <w:t xml:space="preserve"> </w:t>
      </w:r>
      <w:r>
        <w:rPr>
          <w:rStyle w:val="VerbatimChar"/>
        </w:rPr>
        <w:t xml:space="preserve">2^(n-1) - 1</w:t>
      </w:r>
    </w:p>
    <w:p>
      <w:pPr>
        <w:pStyle w:val="FigureWithCaption"/>
      </w:pPr>
      <w:r>
        <w:drawing>
          <wp:inline>
            <wp:extent cx="5334000" cy="257864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424122024948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86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t xml:space="preserve">上图</w:t>
      </w:r>
      <w:r>
        <w:t xml:space="preserve"> </w:t>
      </w:r>
      <w:r>
        <w:rPr>
          <w:b/>
        </w:rPr>
        <w:t xml:space="preserve">规律</w:t>
      </w:r>
      <w:r>
        <w:t xml:space="preserve">为 上次移码 向下 移一格</w:t>
      </w:r>
    </w:p>
    <w:p>
      <w:pPr>
        <w:pStyle w:val="Heading2"/>
      </w:pPr>
      <w:bookmarkStart w:id="68" w:name="header-n62"/>
      <w:bookmarkEnd w:id="68"/>
      <w:r>
        <w:t xml:space="preserve">IEEE754 标准</w:t>
      </w:r>
    </w:p>
    <w:p>
      <w:pPr>
        <w:pStyle w:val="FigureWithCaption"/>
      </w:pPr>
      <w:r>
        <w:drawing>
          <wp:inline>
            <wp:extent cx="5334000" cy="180678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424122634777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067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numPr>
          <w:numId w:val="1008"/>
          <w:ilvl w:val="0"/>
        </w:numPr>
      </w:pPr>
      <w:r>
        <w:rPr>
          <w:shd w:val="clear" w:fill="ffff00"/>
        </w:rPr>
        <w:t>注意</w:t>
      </w:r>
      <w:r>
        <w:t xml:space="preserve"> </w:t>
      </w:r>
      <w:r>
        <w:t xml:space="preserve">： 阶码 8 位 表示的正常范围</w:t>
      </w:r>
      <w:r>
        <w:t xml:space="preserve"> </w:t>
      </w:r>
      <w:r>
        <w:rPr>
          <w:rStyle w:val="VerbatimChar"/>
        </w:rPr>
        <w:t xml:space="preserve">-126 ~ 127</w:t>
      </w:r>
      <w:r>
        <w:t xml:space="preserve"> </w:t>
      </w:r>
      <w:r>
        <w:t xml:space="preserve">因为全 1 与 全 0 用于特殊用途</w:t>
      </w:r>
      <w:r>
        <w:t xml:space="preserve"> </w:t>
      </w:r>
    </w:p>
    <w:p>
      <w:pPr>
        <w:pStyle w:val="Heading3"/>
      </w:pPr>
      <w:bookmarkStart w:id="72" w:name="header-n67"/>
      <w:bookmarkEnd w:id="72"/>
      <w:r>
        <w:t xml:space="preserve">长短浮点数计算正值</w:t>
      </w:r>
    </w:p>
    <w:p>
      <w:pPr>
        <w:pStyle w:val="FirstParagraph"/>
      </w:pPr>
      <w:r>
        <w:drawing>
          <wp:inline>
            <wp:extent cx="5334000" cy="822755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424124400642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227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b/>
        </w:rPr>
        <w:t xml:space="preserve">例子</w:t>
      </w:r>
      <w:r>
        <w:t xml:space="preserve"> </w:t>
      </w:r>
      <w:r>
        <w:t xml:space="preserve">🌰</w:t>
      </w:r>
    </w:p>
    <w:p>
      <w:pPr>
        <w:numPr>
          <w:numId w:val="1009"/>
          <w:ilvl w:val="0"/>
        </w:numPr>
      </w:pPr>
      <w:r>
        <w:t xml:space="preserve">十进制转二进制</w:t>
      </w:r>
      <w:r>
        <w:br w:type="textWrapping"/>
      </w:r>
      <w:r>
        <w:drawing>
          <wp:inline>
            <wp:extent cx="5334000" cy="2392218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424125401174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92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09"/>
          <w:ilvl w:val="0"/>
        </w:numPr>
      </w:pPr>
      <w:r>
        <w:t xml:space="preserve">十六进制 -&gt; 二进制 --&gt; 十进制</w:t>
      </w:r>
      <w:r>
        <w:br w:type="textWrapping"/>
      </w:r>
      <w:r>
        <w:drawing>
          <wp:inline>
            <wp:extent cx="5334000" cy="2190263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424131821798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902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82" w:name="header-n73"/>
      <w:bookmarkEnd w:id="82"/>
      <w:r>
        <w:t xml:space="preserve">最小绝对值与最大绝对值</w:t>
      </w:r>
    </w:p>
    <w:p>
      <w:pPr>
        <w:numPr>
          <w:numId w:val="1010"/>
          <w:ilvl w:val="0"/>
        </w:numPr>
      </w:pPr>
      <w:r>
        <w:rPr>
          <w:shd w:val="clear" w:fill="ffff00"/>
        </w:rPr>
        <w:t>单精度</w:t>
      </w:r>
      <w:r>
        <w:br w:type="textWrapping"/>
      </w:r>
      <w:r>
        <w:drawing>
          <wp:inline>
            <wp:extent cx="5334000" cy="2939932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424132512838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99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10"/>
          <w:ilvl w:val="0"/>
        </w:numPr>
      </w:pPr>
      <w:r>
        <w:rPr>
          <w:shd w:val="clear" w:fill="ffff00"/>
        </w:rPr>
        <w:t>双精度</w:t>
      </w:r>
    </w:p>
    <w:p>
      <w:pPr>
        <w:pStyle w:val="FigureWithCaption"/>
      </w:pPr>
      <w:r>
        <w:drawing>
          <wp:inline>
            <wp:extent cx="5334000" cy="60044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4241326211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04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3"/>
      </w:pPr>
      <w:bookmarkStart w:id="89" w:name="header-n81"/>
      <w:bookmarkEnd w:id="89"/>
      <w:r>
        <w:t xml:space="preserve">阶码全0与1的特殊用途</w:t>
      </w:r>
    </w:p>
    <w:p>
      <w:pPr>
        <w:numPr>
          <w:numId w:val="1011"/>
          <w:ilvl w:val="0"/>
        </w:numPr>
      </w:pPr>
      <w:r>
        <w:t xml:space="preserve">阶码 全为 0 的情况</w:t>
      </w:r>
      <w:r>
        <w:br w:type="textWrapping"/>
      </w:r>
      <w:r>
        <w:drawing>
          <wp:inline>
            <wp:extent cx="5334000" cy="2175572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424140032399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55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11"/>
          <w:ilvl w:val="0"/>
        </w:numPr>
      </w:pPr>
      <w:r>
        <w:t xml:space="preserve">阶码 全 为 1 的特殊情况</w:t>
      </w:r>
      <w:r>
        <w:br w:type="textWrapping"/>
      </w:r>
      <w:r>
        <w:drawing>
          <wp:inline>
            <wp:extent cx="5334000" cy="742271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4241405047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22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6" w:name="header-n86"/>
      <w:bookmarkEnd w:id="96"/>
      <w:r>
        <w:t xml:space="preserve">总结</w:t>
      </w:r>
    </w:p>
    <w:p>
      <w:pPr>
        <w:pStyle w:val="FigureWithCaption"/>
      </w:pPr>
      <w:r>
        <w:drawing>
          <wp:inline>
            <wp:extent cx="5334000" cy="281722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424153153718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72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1"/>
      </w:pPr>
      <w:bookmarkStart w:id="100" w:name="header-n89"/>
      <w:bookmarkEnd w:id="100"/>
      <w:r>
        <w:t xml:space="preserve">浮点数的运算</w:t>
      </w:r>
    </w:p>
    <w:p>
      <w:pPr>
        <w:pStyle w:val="Heading2"/>
      </w:pPr>
      <w:bookmarkStart w:id="101" w:name="header-n90"/>
      <w:bookmarkEnd w:id="101"/>
      <w:r>
        <w:t xml:space="preserve">加减运算</w:t>
      </w:r>
    </w:p>
    <w:p>
      <w:pPr>
        <w:pStyle w:val="FigureWithCaption"/>
      </w:pPr>
      <w:r>
        <w:drawing>
          <wp:inline>
            <wp:extent cx="5334000" cy="266330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424155620505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33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numPr>
          <w:numId w:val="1012"/>
          <w:ilvl w:val="0"/>
        </w:numPr>
      </w:pPr>
      <w:r>
        <w:t xml:space="preserve">1、对阶</w:t>
      </w:r>
    </w:p>
    <w:p>
      <w:pPr>
        <w:numPr>
          <w:numId w:val="1012"/>
          <w:ilvl w:val="0"/>
        </w:numPr>
      </w:pPr>
      <w:r>
        <w:t xml:space="preserve">2、尾数相加</w:t>
      </w:r>
    </w:p>
    <w:p>
      <w:pPr>
        <w:numPr>
          <w:numId w:val="1012"/>
          <w:ilvl w:val="0"/>
        </w:numPr>
      </w:pPr>
      <w:r>
        <w:t xml:space="preserve">3、规格化</w:t>
      </w:r>
    </w:p>
    <w:p>
      <w:pPr>
        <w:numPr>
          <w:numId w:val="1012"/>
          <w:ilvl w:val="0"/>
        </w:numPr>
      </w:pPr>
      <w:r>
        <w:t xml:space="preserve">4、舍入</w:t>
      </w:r>
    </w:p>
    <w:p>
      <w:pPr>
        <w:numPr>
          <w:numId w:val="1012"/>
          <w:ilvl w:val="0"/>
        </w:numPr>
      </w:pPr>
      <w:r>
        <w:t xml:space="preserve">5、判溢出</w:t>
      </w:r>
    </w:p>
    <w:p>
      <w:pPr>
        <w:pStyle w:val="FirstParagraph"/>
      </w:pPr>
      <w:r>
        <w:rPr>
          <w:shd w:val="clear" w:fill="ffff00"/>
        </w:rPr>
        <w:t>阶数对齐的策略</w:t>
      </w:r>
      <w:r>
        <w:t xml:space="preserve"> </w:t>
      </w:r>
      <w:r>
        <w:t xml:space="preserve">： 阶数小向阶数更大的数对齐</w:t>
      </w:r>
    </w:p>
    <w:p>
      <w:pPr>
        <w:pStyle w:val="Heading3"/>
      </w:pPr>
      <w:bookmarkStart w:id="105" w:name="header-n104"/>
      <w:bookmarkEnd w:id="105"/>
      <w:r>
        <w:t xml:space="preserve">例子</w:t>
      </w:r>
    </w:p>
    <w:p>
      <w:pPr>
        <w:numPr>
          <w:numId w:val="1013"/>
          <w:ilvl w:val="0"/>
        </w:numPr>
      </w:pPr>
      <w:r>
        <w:rPr>
          <w:shd w:val="clear" w:fill="ffff00"/>
        </w:rPr>
        <w:t>0</w:t>
      </w:r>
      <w:r>
        <w:t xml:space="preserve">、如果格式不同，需要转换格式</w:t>
      </w:r>
      <w:r>
        <w:br w:type="textWrapping"/>
      </w:r>
      <w:r>
        <w:drawing>
          <wp:inline>
            <wp:extent cx="5334000" cy="2228223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424160957150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82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13"/>
          <w:ilvl w:val="0"/>
        </w:numPr>
      </w:pPr>
      <w:r>
        <w:rPr>
          <w:shd w:val="clear" w:fill="ffff00"/>
        </w:rPr>
        <w:t>1</w:t>
      </w:r>
      <w:r>
        <w:t xml:space="preserve">、对阶 ： 判断大小的方法，两个数的阶码相减</w:t>
      </w:r>
    </w:p>
    <w:p>
      <w:pPr>
        <w:numPr>
          <w:numId w:val="1013"/>
          <w:ilvl w:val="0"/>
        </w:numPr>
      </w:pPr>
      <w:r>
        <w:t xml:space="preserve">即为另外一个数包括符号位取反 再 加 1</w:t>
      </w:r>
    </w:p>
    <w:p>
      <w:pPr>
        <w:pStyle w:val="FirstParagraph"/>
      </w:pPr>
      <w:r>
        <w:t xml:space="preserve">eg : 上面</w:t>
      </w:r>
      <w:r>
        <w:t xml:space="preserve"> </w:t>
      </w:r>
      <w:r>
        <w:rPr>
          <w:rStyle w:val="VerbatimChar"/>
        </w:rPr>
        <w:t xml:space="preserve">11011</w:t>
      </w:r>
      <w:r>
        <w:t xml:space="preserve"> </w:t>
      </w:r>
      <w:r>
        <w:t xml:space="preserve">与</w:t>
      </w:r>
      <w:r>
        <w:t xml:space="preserve"> </w:t>
      </w:r>
      <w:r>
        <w:rPr>
          <w:rStyle w:val="VerbatimChar"/>
        </w:rPr>
        <w:t xml:space="preserve">11100</w:t>
      </w:r>
      <w:r>
        <w:t xml:space="preserve"> </w:t>
      </w:r>
      <w:r>
        <w:br w:type="textWrapping"/>
      </w:r>
      <w:r>
        <w:drawing>
          <wp:inline>
            <wp:extent cx="5334000" cy="891216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4241620257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912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shd w:val="clear" w:fill="ffff00"/>
        </w:rPr>
        <w:t>2、3、4</w:t>
      </w:r>
      <w:r>
        <w:t xml:space="preserve"> </w:t>
      </w:r>
      <w:r>
        <w:t xml:space="preserve">尾数加减与规格化</w:t>
      </w:r>
      <w:r>
        <w:br w:type="textWrapping"/>
      </w:r>
      <w:r>
        <w:drawing>
          <wp:inline>
            <wp:extent cx="5334000" cy="1640669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424171551759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406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shd w:val="clear" w:fill="ffff00"/>
        </w:rPr>
        <w:t>5</w:t>
      </w:r>
      <w:r>
        <w:t xml:space="preserve">、判溢出</w:t>
      </w:r>
    </w:p>
    <w:p>
      <w:pPr>
        <w:numPr>
          <w:numId w:val="1014"/>
          <w:ilvl w:val="0"/>
        </w:numPr>
      </w:pPr>
      <w:r>
        <w:t xml:space="preserve">判断阶码是否溢出 ： 双符号位 +1 ，看看是否改变</w:t>
      </w:r>
      <w:r>
        <w:br w:type="textWrapping"/>
      </w:r>
      <w:r>
        <w:drawing>
          <wp:inline>
            <wp:extent cx="5334000" cy="1046382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424172555106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463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118" w:name="header-n115"/>
      <w:bookmarkEnd w:id="118"/>
      <w:r>
        <w:t xml:space="preserve">舍入的形式</w:t>
      </w:r>
    </w:p>
    <w:p>
      <w:pPr>
        <w:pStyle w:val="FigureWithCaption"/>
      </w:pPr>
      <w:r>
        <w:drawing>
          <wp:inline>
            <wp:extent cx="5334000" cy="363908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424173215645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90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1"/>
      </w:pPr>
      <w:bookmarkStart w:id="122" w:name="header-n118"/>
      <w:bookmarkEnd w:id="122"/>
      <w:r>
        <w:t xml:space="preserve">浮点数的强制类型转换</w:t>
      </w:r>
    </w:p>
    <w:p>
      <w:pPr>
        <w:pStyle w:val="FigureWithCaption"/>
      </w:pPr>
      <w:r>
        <w:drawing>
          <wp:inline>
            <wp:extent cx="5334000" cy="328922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424174245190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92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126" w:name="header-n120"/>
      <w:bookmarkEnd w:id="126"/>
      <w:r>
        <w:t xml:space="preserve">总结</w:t>
      </w:r>
    </w:p>
    <w:p>
      <w:pPr>
        <w:pStyle w:val="FigureWithCaption"/>
      </w:pPr>
      <w:r>
        <w:drawing>
          <wp:inline>
            <wp:extent cx="5334000" cy="26633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424174306872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33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t xml:space="preserve"/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778e4525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30f2f48d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4" Target="media/rId24.png" /><Relationship Type="http://schemas.openxmlformats.org/officeDocument/2006/relationships/image" Id="rId27" Target="media/rId27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6" Target="media/rId56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1" Target="media/rId71.png" /><Relationship Type="http://schemas.openxmlformats.org/officeDocument/2006/relationships/image" Id="rId75" Target="media/rId75.png" /><Relationship Type="http://schemas.openxmlformats.org/officeDocument/2006/relationships/image" Id="rId78" Target="media/rId78.png" /><Relationship Type="http://schemas.openxmlformats.org/officeDocument/2006/relationships/image" Id="rId81" Target="media/rId81.png" /><Relationship Type="http://schemas.openxmlformats.org/officeDocument/2006/relationships/image" Id="rId85" Target="media/rId85.png" /><Relationship Type="http://schemas.openxmlformats.org/officeDocument/2006/relationships/image" Id="rId88" Target="media/rId88.png" /><Relationship Type="http://schemas.openxmlformats.org/officeDocument/2006/relationships/image" Id="rId92" Target="media/rId92.png" /><Relationship Type="http://schemas.openxmlformats.org/officeDocument/2006/relationships/image" Id="rId95" Target="media/rId95.png" /><Relationship Type="http://schemas.openxmlformats.org/officeDocument/2006/relationships/image" Id="rId99" Target="media/rId99.png" /><Relationship Type="http://schemas.openxmlformats.org/officeDocument/2006/relationships/image" Id="rId104" Target="media/rId104.png" /><Relationship Type="http://schemas.openxmlformats.org/officeDocument/2006/relationships/image" Id="rId108" Target="media/rId108.png" /><Relationship Type="http://schemas.openxmlformats.org/officeDocument/2006/relationships/image" Id="rId111" Target="media/rId111.png" /><Relationship Type="http://schemas.openxmlformats.org/officeDocument/2006/relationships/image" Id="rId114" Target="media/rId114.png" /><Relationship Type="http://schemas.openxmlformats.org/officeDocument/2006/relationships/image" Id="rId117" Target="media/rId117.png" /><Relationship Type="http://schemas.openxmlformats.org/officeDocument/2006/relationships/image" Id="rId121" Target="media/rId121.png" /><Relationship Type="http://schemas.openxmlformats.org/officeDocument/2006/relationships/image" Id="rId125" Target="media/rId125.png" /><Relationship Type="http://schemas.openxmlformats.org/officeDocument/2006/relationships/image" Id="rId129" Target="media/rId129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terms:created xsi:type="dcterms:W3CDTF">2021-07-04T06:56:41Z</dcterms:created>
  <dcterms:modified xsi:type="dcterms:W3CDTF">2021-07-04T06:56:41Z</dcterms:modified>
</cp:coreProperties>
</file>